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hint="eastAsia" w:ascii="宋体" w:hAnsi="宋体" w:eastAsia="宋体"/>
          <w:b/>
          <w:sz w:val="36"/>
          <w:szCs w:val="36"/>
          <w:lang w:val="en-US" w:eastAsia="zh-CN"/>
        </w:rPr>
      </w:pPr>
      <w:r>
        <w:rPr>
          <w:rFonts w:hint="eastAsia" w:ascii="宋体" w:hAnsi="宋体"/>
          <w:b/>
          <w:sz w:val="36"/>
          <w:szCs w:val="36"/>
          <w:lang w:val="en-US" w:eastAsia="zh-CN"/>
        </w:rPr>
        <w:t>(</w:t>
      </w:r>
      <w:r>
        <w:rPr>
          <w:rFonts w:hint="eastAsia" w:ascii="宋体" w:hAnsi="宋体"/>
          <w:b/>
          <w:sz w:val="36"/>
          <w:szCs w:val="36"/>
          <w:lang w:eastAsia="zh-CN"/>
        </w:rPr>
        <w:t>工伤管理经费</w:t>
      </w:r>
      <w:r>
        <w:rPr>
          <w:rFonts w:hint="eastAsia" w:ascii="宋体" w:hAnsi="宋体"/>
          <w:b/>
          <w:sz w:val="36"/>
          <w:szCs w:val="36"/>
          <w:lang w:val="en-US" w:eastAsia="zh-CN"/>
        </w:rPr>
        <w:t>)</w:t>
      </w:r>
    </w:p>
    <w:p>
      <w:pPr>
        <w:spacing w:line="360" w:lineRule="auto"/>
        <w:ind w:firstLine="640" w:firstLineChars="200"/>
        <w:rPr>
          <w:rFonts w:hint="eastAsia" w:ascii="黑体" w:eastAsia="黑体"/>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（一）单位概况</w:t>
      </w:r>
    </w:p>
    <w:p>
      <w:pPr>
        <w:spacing w:line="560" w:lineRule="exact"/>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乳源瑶族自治县人力资源和社会保障局是正科级行政单位。内设办公室、就业促进股、事业单位人事管理股（人事考试办公室）、工资福利股、社会保险管理股、劳动关系股、劳动保障监察综合执法大队、</w:t>
      </w:r>
      <w:r>
        <w:rPr>
          <w:rFonts w:hint="eastAsia" w:ascii="仿宋_GB2312" w:hAnsi="仿宋_GB2312" w:eastAsia="仿宋_GB2312" w:cs="仿宋_GB2312"/>
          <w:sz w:val="32"/>
          <w:szCs w:val="32"/>
          <w:lang w:eastAsia="zh-CN"/>
        </w:rPr>
        <w:t>职业建设股</w:t>
      </w:r>
      <w:r>
        <w:rPr>
          <w:rFonts w:hint="eastAsia" w:ascii="仿宋_GB2312" w:hAnsi="仿宋_GB2312" w:eastAsia="仿宋_GB2312" w:cs="仿宋_GB2312"/>
          <w:sz w:val="32"/>
          <w:szCs w:val="32"/>
        </w:rPr>
        <w:t>。</w:t>
      </w:r>
      <w:r>
        <w:rPr>
          <w:rFonts w:hint="eastAsia" w:ascii="仿宋" w:hAnsi="仿宋" w:eastAsia="仿宋" w:cs="方正仿宋简体"/>
          <w:sz w:val="32"/>
          <w:szCs w:val="32"/>
        </w:rPr>
        <w:t>局属事业单位有</w:t>
      </w:r>
      <w:r>
        <w:rPr>
          <w:rFonts w:hint="eastAsia" w:ascii="仿宋" w:hAnsi="仿宋" w:eastAsia="仿宋" w:cs="方正仿宋简体"/>
          <w:sz w:val="32"/>
          <w:szCs w:val="32"/>
          <w:lang w:val="en-US" w:eastAsia="zh-CN"/>
        </w:rPr>
        <w:t>4</w:t>
      </w:r>
      <w:r>
        <w:rPr>
          <w:rFonts w:hint="eastAsia" w:ascii="仿宋" w:hAnsi="仿宋" w:eastAsia="仿宋" w:cs="方正仿宋简体"/>
          <w:sz w:val="32"/>
          <w:szCs w:val="32"/>
        </w:rPr>
        <w:t>个，分别是乳源瑶族自治县自治县人才管理工作办公室、乳源瑶族自治县劳动人事争议仲裁院、乳源瑶族自治县就业服务管理局</w:t>
      </w:r>
      <w:r>
        <w:rPr>
          <w:rFonts w:hint="eastAsia" w:ascii="仿宋" w:hAnsi="仿宋" w:eastAsia="仿宋" w:cs="方正仿宋简体"/>
          <w:sz w:val="32"/>
          <w:szCs w:val="32"/>
          <w:lang w:eastAsia="zh-CN"/>
        </w:rPr>
        <w:t>和</w:t>
      </w:r>
      <w:r>
        <w:rPr>
          <w:rFonts w:hint="eastAsia" w:ascii="仿宋" w:hAnsi="仿宋" w:eastAsia="仿宋" w:cs="方正仿宋简体"/>
          <w:sz w:val="32"/>
          <w:szCs w:val="32"/>
        </w:rPr>
        <w:t>乳源瑶族自治县</w:t>
      </w:r>
      <w:r>
        <w:rPr>
          <w:rFonts w:hint="eastAsia" w:ascii="仿宋" w:hAnsi="仿宋" w:eastAsia="仿宋" w:cs="方正仿宋简体"/>
          <w:sz w:val="32"/>
          <w:szCs w:val="32"/>
          <w:lang w:eastAsia="zh-CN"/>
        </w:rPr>
        <w:t>职业技能服务中心（</w:t>
      </w:r>
      <w:r>
        <w:rPr>
          <w:rFonts w:hint="eastAsia" w:ascii="仿宋" w:hAnsi="仿宋" w:eastAsia="仿宋" w:cs="方正仿宋简体"/>
          <w:sz w:val="32"/>
          <w:szCs w:val="32"/>
          <w:lang w:val="en-US" w:eastAsia="zh-CN"/>
        </w:rPr>
        <w:t>2022年12月根据乳机编[2022]22号新设立单位</w:t>
      </w:r>
      <w:r>
        <w:rPr>
          <w:rFonts w:hint="eastAsia" w:ascii="仿宋" w:hAnsi="仿宋" w:eastAsia="仿宋" w:cs="方正仿宋简体"/>
          <w:sz w:val="32"/>
          <w:szCs w:val="32"/>
          <w:lang w:eastAsia="zh-CN"/>
        </w:rPr>
        <w:t>）</w:t>
      </w:r>
      <w:r>
        <w:rPr>
          <w:rFonts w:hint="eastAsia" w:ascii="仿宋" w:hAnsi="仿宋" w:eastAsia="仿宋" w:cs="方正仿宋简体"/>
          <w:sz w:val="32"/>
          <w:szCs w:val="32"/>
        </w:rPr>
        <w:t>。</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（二）项目实施主要内容及实施程序。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严格按照《工伤保险条例》《广东省工伤保险条例》和《工伤认定办法》等相关规定，切实做好工伤认定工作，切实维护受伤职工和用人单位的合法权益。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（三）综述项目自评等级和分数</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eastAsia="黑体"/>
          <w:sz w:val="32"/>
          <w:szCs w:val="32"/>
        </w:rPr>
      </w:pPr>
      <w:r>
        <w:rPr>
          <w:rFonts w:hint="eastAsia" w:ascii="仿宋_GB2312" w:hAnsi="仿宋_GB2312" w:eastAsia="仿宋_GB2312" w:cs="仿宋_GB2312"/>
          <w:sz w:val="32"/>
          <w:szCs w:val="32"/>
        </w:rPr>
        <w:t>自评等级：优，分数9</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分。</w:t>
      </w:r>
    </w:p>
    <w:p>
      <w:pPr>
        <w:numPr>
          <w:ilvl w:val="0"/>
          <w:numId w:val="1"/>
        </w:numPr>
        <w:spacing w:line="360" w:lineRule="auto"/>
        <w:ind w:firstLine="640" w:firstLineChars="200"/>
        <w:rPr>
          <w:rFonts w:hint="eastAsia" w:ascii="黑体" w:eastAsia="黑体"/>
          <w:sz w:val="32"/>
          <w:szCs w:val="32"/>
        </w:rPr>
      </w:pPr>
      <w:r>
        <w:rPr>
          <w:rFonts w:hint="eastAsia" w:ascii="黑体" w:eastAsia="黑体"/>
          <w:sz w:val="32"/>
          <w:szCs w:val="32"/>
        </w:rPr>
        <w:t>项目指标完成情况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（一）资金使用绩效</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ind w:firstLine="640"/>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sz w:val="32"/>
          <w:szCs w:val="32"/>
          <w:lang w:eastAsia="zh-CN"/>
        </w:rPr>
        <w:t>工伤管理经费</w:t>
      </w:r>
      <w:r>
        <w:rPr>
          <w:rFonts w:hint="eastAsia" w:ascii="方正仿宋简体" w:hAnsi="方正仿宋简体" w:eastAsia="方正仿宋简体" w:cs="方正仿宋简体"/>
          <w:sz w:val="32"/>
          <w:szCs w:val="32"/>
          <w:lang w:eastAsia="zh-CN"/>
        </w:rPr>
        <w:t>年度资金安排</w:t>
      </w:r>
      <w:r>
        <w:rPr>
          <w:rFonts w:hint="eastAsia" w:ascii="仿宋_GB2312" w:hAnsi="仿宋_GB2312" w:eastAsia="仿宋_GB2312"/>
          <w:sz w:val="32"/>
          <w:szCs w:val="32"/>
          <w:lang w:val="en-US" w:eastAsia="zh-CN"/>
        </w:rPr>
        <w:t>9000元，支出3000元。资金未支出完成的原因是：</w:t>
      </w:r>
      <w:r>
        <w:rPr>
          <w:rFonts w:hint="eastAsia" w:ascii="仿宋_GB2312" w:hAnsi="仿宋_GB2312" w:eastAsia="仿宋_GB2312" w:cs="仿宋_GB2312"/>
          <w:color w:val="auto"/>
          <w:kern w:val="0"/>
          <w:sz w:val="32"/>
          <w:szCs w:val="32"/>
          <w:lang w:eastAsia="zh-CN"/>
        </w:rPr>
        <w:t>项目资金主要用于工伤认定中申请对象对认定结果有争议的情况提交法院参与行政复议聘请的律师费。2022年申请认定工伤对工伤认定结果比较认同，参与行政复议案件减少。</w:t>
      </w:r>
      <w:bookmarkStart w:id="0" w:name="_GoBack"/>
      <w:bookmarkEnd w:id="0"/>
    </w:p>
    <w:p>
      <w:pPr>
        <w:keepNext w:val="0"/>
        <w:keepLines w:val="0"/>
        <w:pageBreakBefore w:val="0"/>
        <w:widowControl w:val="0"/>
        <w:numPr>
          <w:numId w:val="0"/>
        </w:numPr>
        <w:kinsoku/>
        <w:wordWrap/>
        <w:overflowPunct/>
        <w:topLinePunct w:val="0"/>
        <w:autoSpaceDE/>
        <w:autoSpaceDN/>
        <w:bidi w:val="0"/>
        <w:adjustRightInd/>
        <w:snapToGrid/>
        <w:spacing w:line="600" w:lineRule="exact"/>
        <w:ind w:left="630" w:leftChars="0"/>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sz w:val="32"/>
          <w:szCs w:val="32"/>
          <w:lang w:val="en-US" w:eastAsia="zh-CN"/>
        </w:rPr>
        <w:t>2、</w:t>
      </w:r>
      <w:r>
        <w:rPr>
          <w:rFonts w:hint="eastAsia" w:ascii="仿宋_GB2312" w:hAnsi="仿宋_GB2312" w:eastAsia="仿宋_GB2312"/>
          <w:sz w:val="32"/>
          <w:szCs w:val="32"/>
        </w:rPr>
        <w:t>项目的绩效目标完成情况</w:t>
      </w:r>
      <w:r>
        <w:rPr>
          <w:rFonts w:hint="eastAsia" w:ascii="仿宋_GB2312" w:hAnsi="仿宋_GB2312" w:eastAsia="仿宋_GB2312"/>
          <w:sz w:val="32"/>
          <w:szCs w:val="32"/>
          <w:lang w:eastAsia="zh-CN"/>
        </w:rPr>
        <w:t>。</w:t>
      </w:r>
    </w:p>
    <w:p>
      <w:pPr>
        <w:ind w:firstLine="6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color w:val="auto"/>
          <w:kern w:val="0"/>
          <w:sz w:val="32"/>
          <w:szCs w:val="32"/>
          <w:lang w:eastAsia="zh-CN"/>
        </w:rPr>
        <w:t>收到单位、群众提交来的工伤认定申请案件共143宗，其中：认定126宗、不予认定13宗、撤回2宗、已转案件1宗、不予受理1宗。参与行政复议1宗。</w:t>
      </w:r>
      <w:r>
        <w:rPr>
          <w:rFonts w:hint="eastAsia" w:ascii="仿宋_GB2312" w:hAnsi="仿宋_GB2312" w:eastAsia="仿宋_GB2312" w:cs="仿宋_GB2312"/>
          <w:sz w:val="32"/>
          <w:szCs w:val="32"/>
          <w:lang w:val="en-US" w:eastAsia="zh-CN"/>
        </w:rPr>
        <w:t>工伤认定准确率100%，资金支出及时率100%，项目成本控制率95%，服务对象满意度90%以上。</w:t>
      </w:r>
    </w:p>
    <w:p>
      <w:pPr>
        <w:ind w:firstLine="64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二、存在问题</w:t>
      </w:r>
    </w:p>
    <w:p>
      <w:pPr>
        <w:ind w:firstLine="640" w:firstLineChars="200"/>
        <w:rPr>
          <w:rFonts w:hint="eastAsia" w:ascii="仿宋_GB2312" w:hAnsi="宋体" w:eastAsia="仿宋_GB2312" w:cs="宋体"/>
          <w:color w:val="000000"/>
          <w:sz w:val="32"/>
          <w:szCs w:val="32"/>
          <w:lang w:val="en-US" w:eastAsia="zh-CN"/>
        </w:rPr>
      </w:pPr>
      <w:r>
        <w:rPr>
          <w:rFonts w:hint="eastAsia" w:ascii="仿宋" w:hAnsi="仿宋" w:eastAsia="仿宋" w:cs="仿宋"/>
          <w:sz w:val="32"/>
          <w:szCs w:val="32"/>
        </w:rPr>
        <w:t>一是办理业务不规范，有待进一步完善，遇到疑难案件时没有相关标准实行；二是建筑企业、商业服务业、个体工商户参保工作力度不大。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三、下一步计划</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严格按照有关法律法规和条例办事，不断完善工伤认定工作，提高企业和职工的工伤保险意识。做到依法行政，按章办事，努力提高办事效率，尽量减少行政诉讼官司案件；强化为职工服务的观念意识，淡化行政审批意识，积极树立为企业职工服务的宗旨观念，优化办事流程，简化办事程序，认真做好审批前、审核中各环节的指导服务，切实把工作做实、做细，做到让群众满意。</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（二）全面提高</w:t>
      </w:r>
      <w:r>
        <w:rPr>
          <w:rFonts w:hint="eastAsia" w:ascii="仿宋" w:hAnsi="仿宋" w:eastAsia="仿宋" w:cs="仿宋"/>
          <w:sz w:val="32"/>
          <w:szCs w:val="32"/>
          <w:lang w:eastAsia="zh-CN"/>
        </w:rPr>
        <w:t>股室人员</w:t>
      </w:r>
      <w:r>
        <w:rPr>
          <w:rFonts w:hint="eastAsia" w:ascii="仿宋" w:hAnsi="仿宋" w:eastAsia="仿宋" w:cs="仿宋"/>
          <w:sz w:val="32"/>
          <w:szCs w:val="32"/>
        </w:rPr>
        <w:t>的业务素质和综合能力，建立健全科室内部管理制度，细分细化工作分工，责任到人，提高服务质量。做到业务熟悉，态度和蔼，责任心强，耐心细致地为企业员工及一切来访人员排忧解难。</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（三）加大工伤保险政策宣传力度。通过新闻报导、政策咨询等多种形式加大《工伤保险条例》宣传力度，提高企业和劳动者的参保意识、维权意识和劳动保护意识，减少工伤事故的发生。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sz w:val="32"/>
          <w:szCs w:val="32"/>
          <w:lang w:val="en-US" w:eastAsia="zh-CN"/>
        </w:rPr>
      </w:pPr>
    </w:p>
    <w:p>
      <w:pPr>
        <w:ind w:firstLine="640"/>
        <w:rPr>
          <w:rFonts w:hint="eastAsia" w:ascii="黑体" w:hAnsi="黑体" w:eastAsia="黑体" w:cs="黑体"/>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58773"/>
    <w:multiLevelType w:val="singleLevel"/>
    <w:tmpl w:val="5635877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kNjRlMjIwNmQwMzgxYWJkNzVlOTNiZjgzYTMzZWMifQ=="/>
  </w:docVars>
  <w:rsids>
    <w:rsidRoot w:val="00000000"/>
    <w:rsid w:val="16644230"/>
    <w:rsid w:val="221C3A53"/>
    <w:rsid w:val="2F006161"/>
    <w:rsid w:val="4C3D5394"/>
    <w:rsid w:val="61920D19"/>
    <w:rsid w:val="70AE28AB"/>
    <w:rsid w:val="75105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 New"/>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801</Characters>
  <Lines>0</Lines>
  <Paragraphs>0</Paragraphs>
  <TotalTime>1</TotalTime>
  <ScaleCrop>false</ScaleCrop>
  <LinksUpToDate>false</LinksUpToDate>
  <CharactersWithSpaces>801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2023-06-07T02:42:48Z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04C08111FC2E45E0901C1B3B72DFA4DD_12</vt:lpwstr>
  </property>
</Properties>
</file>